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CA30" w14:textId="742062E3" w:rsidR="003D41E3" w:rsidRPr="00D22400" w:rsidRDefault="00FC2DAD" w:rsidP="00FC2DAD">
      <w:pPr>
        <w:outlineLvl w:val="0"/>
        <w:rPr>
          <w:rFonts w:cs="Arial"/>
          <w:noProof/>
          <w:szCs w:val="20"/>
        </w:rPr>
      </w:pPr>
      <w:r w:rsidRPr="00D22400">
        <w:rPr>
          <w:rFonts w:cs="Arial"/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2AA3" wp14:editId="26F782D7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2C1B" w14:textId="6D1A186C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2AA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7EDB2C1B" w14:textId="6D1A186C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D22400">
        <w:rPr>
          <w:rFonts w:cs="Arial"/>
          <w:noProof/>
          <w:szCs w:val="20"/>
        </w:rPr>
        <w:drawing>
          <wp:anchor distT="0" distB="0" distL="114300" distR="114300" simplePos="0" relativeHeight="251662336" behindDoc="1" locked="0" layoutInCell="1" allowOverlap="1" wp14:anchorId="44D05CD7" wp14:editId="088673FC">
            <wp:simplePos x="0" y="0"/>
            <wp:positionH relativeFrom="colum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40" w:type="dxa"/>
        <w:tblInd w:w="-147" w:type="dxa"/>
        <w:tblLook w:val="0000" w:firstRow="0" w:lastRow="0" w:firstColumn="0" w:lastColumn="0" w:noHBand="0" w:noVBand="0"/>
      </w:tblPr>
      <w:tblGrid>
        <w:gridCol w:w="4003"/>
        <w:gridCol w:w="1344"/>
        <w:gridCol w:w="1848"/>
        <w:gridCol w:w="661"/>
        <w:gridCol w:w="1826"/>
        <w:gridCol w:w="958"/>
      </w:tblGrid>
      <w:tr w:rsidR="000D7F91" w:rsidRPr="00D22400" w14:paraId="0B7729E5" w14:textId="77777777" w:rsidTr="000D7F91">
        <w:trPr>
          <w:trHeight w:val="338"/>
        </w:trPr>
        <w:tc>
          <w:tcPr>
            <w:tcW w:w="4040" w:type="dxa"/>
            <w:vMerge w:val="restart"/>
          </w:tcPr>
          <w:p w14:paraId="3A4C6C84" w14:textId="77777777" w:rsidR="00BC25CE" w:rsidRDefault="009B6480" w:rsidP="0061728B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212121"/>
                <w:szCs w:val="20"/>
                <w:shd w:val="clear" w:color="auto" w:fill="FFFFFF"/>
              </w:rPr>
            </w:pPr>
            <w:proofErr w:type="spellStart"/>
            <w:r w:rsidRPr="009B6480">
              <w:rPr>
                <w:rFonts w:cs="Arial"/>
                <w:color w:val="212121"/>
                <w:szCs w:val="20"/>
                <w:shd w:val="clear" w:color="auto" w:fill="FFFFFF"/>
              </w:rPr>
              <w:t>Liisa-Ly</w:t>
            </w:r>
            <w:proofErr w:type="spellEnd"/>
            <w:r w:rsidRPr="009B6480">
              <w:rPr>
                <w:rFonts w:cs="Arial"/>
                <w:color w:val="212121"/>
                <w:szCs w:val="20"/>
                <w:shd w:val="clear" w:color="auto" w:fill="FFFFFF"/>
              </w:rPr>
              <w:t xml:space="preserve"> Pakosta</w:t>
            </w:r>
          </w:p>
          <w:p w14:paraId="144417D6" w14:textId="51BF7DDD" w:rsidR="0061728B" w:rsidRPr="009B6480" w:rsidRDefault="0061728B" w:rsidP="0061728B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212121"/>
                <w:szCs w:val="20"/>
                <w:shd w:val="clear" w:color="auto" w:fill="FFFFFF"/>
              </w:rPr>
            </w:pPr>
            <w:r w:rsidRPr="009B6480">
              <w:rPr>
                <w:rFonts w:cs="Arial"/>
                <w:color w:val="212121"/>
                <w:szCs w:val="20"/>
                <w:shd w:val="clear" w:color="auto" w:fill="FFFFFF"/>
              </w:rPr>
              <w:t>Justiitsministeerium</w:t>
            </w:r>
          </w:p>
          <w:p w14:paraId="11EF2765" w14:textId="135317FB" w:rsidR="00D22400" w:rsidRPr="00D22400" w:rsidRDefault="0061728B" w:rsidP="0061728B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212121"/>
                <w:szCs w:val="20"/>
                <w:shd w:val="clear" w:color="auto" w:fill="FFFFFF"/>
              </w:rPr>
            </w:pPr>
            <w:r w:rsidRPr="009B6480">
              <w:rPr>
                <w:rFonts w:cs="Arial"/>
                <w:color w:val="212121"/>
                <w:szCs w:val="20"/>
                <w:shd w:val="clear" w:color="auto" w:fill="FFFFFF"/>
              </w:rPr>
              <w:t>info@just.ee</w:t>
            </w:r>
          </w:p>
          <w:p w14:paraId="44B11717" w14:textId="4FEA8B52" w:rsidR="00D22400" w:rsidRPr="00D22400" w:rsidRDefault="00D22400" w:rsidP="00D22400">
            <w:pPr>
              <w:pStyle w:val="Normaallaadve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</w:tcPr>
          <w:p w14:paraId="58CFA5D8" w14:textId="5434C8B0" w:rsidR="000D7F91" w:rsidRPr="00D22400" w:rsidRDefault="0061728B" w:rsidP="0061728B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</w:t>
            </w:r>
            <w:r w:rsidR="000D7F91" w:rsidRPr="00D22400">
              <w:rPr>
                <w:rFonts w:cs="Arial"/>
                <w:szCs w:val="20"/>
              </w:rPr>
              <w:t>Teie</w:t>
            </w:r>
          </w:p>
        </w:tc>
        <w:tc>
          <w:tcPr>
            <w:tcW w:w="1868" w:type="dxa"/>
            <w:shd w:val="clear" w:color="auto" w:fill="auto"/>
          </w:tcPr>
          <w:p w14:paraId="311A3D2A" w14:textId="330248A9" w:rsidR="000D7F91" w:rsidRPr="00D22400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14:paraId="56A94B19" w14:textId="36FFACAC" w:rsidR="000D7F91" w:rsidRPr="00D22400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 w:rsidRPr="00D22400">
              <w:rPr>
                <w:rFonts w:cs="Arial"/>
                <w:szCs w:val="20"/>
              </w:rPr>
              <w:t>20</w:t>
            </w:r>
          </w:p>
        </w:tc>
        <w:tc>
          <w:tcPr>
            <w:tcW w:w="1851" w:type="dxa"/>
            <w:shd w:val="clear" w:color="auto" w:fill="auto"/>
          </w:tcPr>
          <w:p w14:paraId="532DC1FA" w14:textId="53411E2A" w:rsidR="000D7F91" w:rsidRPr="00D22400" w:rsidRDefault="000D7F91" w:rsidP="00770F75">
            <w:pPr>
              <w:spacing w:after="120"/>
              <w:rPr>
                <w:rFonts w:cs="Arial"/>
                <w:szCs w:val="20"/>
              </w:rPr>
            </w:pPr>
            <w:r w:rsidRPr="00D22400">
              <w:rPr>
                <w:rFonts w:cs="Arial"/>
                <w:szCs w:val="20"/>
              </w:rPr>
              <w:t xml:space="preserve">a nr 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1D77795A" w14:textId="77777777" w:rsidR="000D7F91" w:rsidRPr="00D22400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tr w:rsidR="000D7F91" w:rsidRPr="00D22400" w14:paraId="1E58ED1D" w14:textId="77777777" w:rsidTr="000D7F91">
        <w:trPr>
          <w:trHeight w:val="277"/>
        </w:trPr>
        <w:tc>
          <w:tcPr>
            <w:tcW w:w="4040" w:type="dxa"/>
            <w:vMerge/>
          </w:tcPr>
          <w:p w14:paraId="758EF281" w14:textId="77777777" w:rsidR="000D7F91" w:rsidRPr="00D22400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  <w:bookmarkStart w:id="0" w:name="_Hlk60063564"/>
          </w:p>
        </w:tc>
        <w:tc>
          <w:tcPr>
            <w:tcW w:w="1356" w:type="dxa"/>
          </w:tcPr>
          <w:p w14:paraId="07FA4789" w14:textId="77777777" w:rsidR="000D7F91" w:rsidRPr="00D22400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 w:rsidRPr="00D22400">
              <w:rPr>
                <w:rFonts w:cs="Arial"/>
                <w:szCs w:val="20"/>
              </w:rPr>
              <w:t>Meie</w:t>
            </w:r>
          </w:p>
        </w:tc>
        <w:tc>
          <w:tcPr>
            <w:tcW w:w="1868" w:type="dxa"/>
            <w:shd w:val="clear" w:color="auto" w:fill="auto"/>
          </w:tcPr>
          <w:p w14:paraId="2797123C" w14:textId="27EA5F6B" w:rsidR="000D7F91" w:rsidRPr="00D22400" w:rsidRDefault="0061728B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9B6480">
              <w:rPr>
                <w:rFonts w:cs="Arial"/>
                <w:szCs w:val="20"/>
              </w:rPr>
              <w:t>6</w:t>
            </w:r>
            <w:r w:rsidR="00D22400" w:rsidRPr="00D22400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08</w:t>
            </w:r>
          </w:p>
        </w:tc>
        <w:tc>
          <w:tcPr>
            <w:tcW w:w="554" w:type="dxa"/>
            <w:shd w:val="clear" w:color="auto" w:fill="auto"/>
          </w:tcPr>
          <w:p w14:paraId="69A35BDD" w14:textId="7A3DB81E" w:rsidR="000D7F91" w:rsidRPr="00D22400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 w:rsidRPr="00D22400">
              <w:rPr>
                <w:rFonts w:cs="Arial"/>
                <w:szCs w:val="20"/>
              </w:rPr>
              <w:t>20</w:t>
            </w:r>
            <w:r w:rsidR="00D22400" w:rsidRPr="00D22400">
              <w:rPr>
                <w:rFonts w:cs="Arial"/>
                <w:szCs w:val="20"/>
              </w:rPr>
              <w:t>2</w:t>
            </w:r>
            <w:r w:rsidR="009B6480">
              <w:rPr>
                <w:rFonts w:cs="Arial"/>
                <w:szCs w:val="20"/>
              </w:rPr>
              <w:t>4</w:t>
            </w:r>
          </w:p>
        </w:tc>
        <w:tc>
          <w:tcPr>
            <w:tcW w:w="1851" w:type="dxa"/>
            <w:shd w:val="clear" w:color="auto" w:fill="auto"/>
          </w:tcPr>
          <w:p w14:paraId="2A0A5C2C" w14:textId="4E25193F" w:rsidR="000D7F91" w:rsidRPr="00D22400" w:rsidRDefault="000D7F91" w:rsidP="00770F75">
            <w:pPr>
              <w:spacing w:after="120"/>
              <w:rPr>
                <w:rFonts w:cs="Arial"/>
                <w:szCs w:val="20"/>
              </w:rPr>
            </w:pPr>
            <w:r w:rsidRPr="00D22400">
              <w:rPr>
                <w:rFonts w:cs="Arial"/>
                <w:szCs w:val="20"/>
              </w:rPr>
              <w:t xml:space="preserve">a nr 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6A7ED25B" w14:textId="77777777" w:rsidR="000D7F91" w:rsidRPr="00D22400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bookmarkEnd w:id="0"/>
    </w:tbl>
    <w:p w14:paraId="33820B36" w14:textId="179287D7" w:rsidR="0030100D" w:rsidRPr="00D22400" w:rsidRDefault="0030100D" w:rsidP="0030100D">
      <w:pPr>
        <w:jc w:val="both"/>
        <w:rPr>
          <w:rFonts w:cs="Arial"/>
          <w:szCs w:val="20"/>
        </w:rPr>
      </w:pPr>
    </w:p>
    <w:p w14:paraId="3EEB070D" w14:textId="77777777" w:rsidR="00D22400" w:rsidRPr="00D22400" w:rsidRDefault="00D22400" w:rsidP="0030100D">
      <w:pPr>
        <w:jc w:val="both"/>
        <w:rPr>
          <w:rFonts w:cs="Arial"/>
          <w:szCs w:val="20"/>
        </w:rPr>
      </w:pPr>
    </w:p>
    <w:p w14:paraId="2C84F390" w14:textId="6B926473" w:rsidR="0061728B" w:rsidRPr="0061728B" w:rsidRDefault="009B6480" w:rsidP="0061728B">
      <w:pPr>
        <w:jc w:val="both"/>
        <w:rPr>
          <w:b/>
        </w:rPr>
      </w:pPr>
      <w:r w:rsidRPr="009B6480">
        <w:rPr>
          <w:b/>
        </w:rPr>
        <w:t xml:space="preserve">Tsiviilkohtumenetluse seadustiku ja kohtute seaduse muutmise seaduse </w:t>
      </w:r>
      <w:r w:rsidR="0061728B" w:rsidRPr="0061728B">
        <w:rPr>
          <w:b/>
        </w:rPr>
        <w:t>eelnõu</w:t>
      </w:r>
    </w:p>
    <w:p w14:paraId="0380AC17" w14:textId="77777777" w:rsidR="0061728B" w:rsidRPr="0061728B" w:rsidRDefault="0061728B" w:rsidP="0061728B">
      <w:pPr>
        <w:jc w:val="both"/>
        <w:rPr>
          <w:b/>
        </w:rPr>
      </w:pPr>
    </w:p>
    <w:p w14:paraId="7A569A7C" w14:textId="77777777" w:rsidR="0061728B" w:rsidRPr="0061728B" w:rsidRDefault="0061728B" w:rsidP="0061728B">
      <w:pPr>
        <w:jc w:val="both"/>
        <w:rPr>
          <w:b/>
        </w:rPr>
      </w:pPr>
    </w:p>
    <w:p w14:paraId="677186B9" w14:textId="4AAE949E" w:rsidR="0061728B" w:rsidRPr="0061728B" w:rsidRDefault="0061728B" w:rsidP="0061728B">
      <w:pPr>
        <w:jc w:val="both"/>
      </w:pPr>
      <w:r w:rsidRPr="0061728B">
        <w:t xml:space="preserve">Lugupeetud minister, </w:t>
      </w:r>
    </w:p>
    <w:p w14:paraId="094A54D5" w14:textId="77777777" w:rsidR="0061728B" w:rsidRPr="0061728B" w:rsidRDefault="0061728B" w:rsidP="0061728B">
      <w:pPr>
        <w:jc w:val="both"/>
      </w:pPr>
    </w:p>
    <w:p w14:paraId="10304E62" w14:textId="77777777" w:rsidR="00BC25CE" w:rsidRDefault="00BC25CE" w:rsidP="0061728B">
      <w:pPr>
        <w:jc w:val="both"/>
      </w:pPr>
    </w:p>
    <w:p w14:paraId="757BB157" w14:textId="77777777" w:rsidR="00BC25CE" w:rsidRDefault="0061728B" w:rsidP="001D64BC">
      <w:pPr>
        <w:jc w:val="both"/>
      </w:pPr>
      <w:r w:rsidRPr="0061728B">
        <w:t xml:space="preserve">Täname võimaluse eest avaldada arvamust </w:t>
      </w:r>
      <w:r w:rsidR="009B6480">
        <w:t>t</w:t>
      </w:r>
      <w:r w:rsidR="009B6480" w:rsidRPr="009B6480">
        <w:t xml:space="preserve">siviilkohtumenetluse seadustiku ja kohtute seaduse muutmise seaduse </w:t>
      </w:r>
      <w:r w:rsidRPr="0061728B">
        <w:t>eelnõule.</w:t>
      </w:r>
      <w:r w:rsidR="00BC25CE">
        <w:t xml:space="preserve"> </w:t>
      </w:r>
    </w:p>
    <w:p w14:paraId="6DF629A3" w14:textId="77777777" w:rsidR="00BC25CE" w:rsidRDefault="00BC25CE" w:rsidP="001D64BC">
      <w:pPr>
        <w:jc w:val="both"/>
      </w:pPr>
    </w:p>
    <w:p w14:paraId="3FE74201" w14:textId="3ED2165F" w:rsidR="001D64BC" w:rsidRDefault="001D64BC" w:rsidP="001D64BC">
      <w:pPr>
        <w:jc w:val="both"/>
      </w:pPr>
      <w:r w:rsidRPr="001D64BC">
        <w:t xml:space="preserve">Viru Maakohtus esitas eelnõu osas arvamuse </w:t>
      </w:r>
      <w:r>
        <w:t xml:space="preserve">viis </w:t>
      </w:r>
      <w:r w:rsidRPr="001D64BC">
        <w:t>kohtunikku</w:t>
      </w:r>
      <w:r w:rsidR="00BC25CE">
        <w:t xml:space="preserve">, kelle </w:t>
      </w:r>
      <w:r w:rsidR="002E2ED5">
        <w:t>tähelepanekud</w:t>
      </w:r>
      <w:r w:rsidR="00BC25CE">
        <w:t xml:space="preserve"> on järgmised</w:t>
      </w:r>
      <w:r w:rsidR="00740ECE">
        <w:t xml:space="preserve">: </w:t>
      </w:r>
    </w:p>
    <w:p w14:paraId="01AD75FE" w14:textId="77777777" w:rsidR="001D64BC" w:rsidRDefault="001D64BC" w:rsidP="001D64BC">
      <w:pPr>
        <w:jc w:val="both"/>
      </w:pPr>
    </w:p>
    <w:p w14:paraId="098CA81A" w14:textId="2A7087B5" w:rsidR="00BC25CE" w:rsidRDefault="002E2ED5" w:rsidP="00104458">
      <w:pPr>
        <w:pStyle w:val="Loendilik"/>
        <w:numPr>
          <w:ilvl w:val="0"/>
          <w:numId w:val="1"/>
        </w:numPr>
        <w:jc w:val="both"/>
      </w:pPr>
      <w:r>
        <w:t>k</w:t>
      </w:r>
      <w:r w:rsidR="001D64BC">
        <w:t xml:space="preserve">ohtunikuabi ja vanemkohtujuristi pädevuse laiendamine – VTK-s ei ole täpsemalt selgitatud, kuidas kohtunikuabide pädevuse laiendamine välja näeb. </w:t>
      </w:r>
      <w:r>
        <w:t>K</w:t>
      </w:r>
      <w:r w:rsidR="001D64BC">
        <w:t xml:space="preserve">ohtunikuabid </w:t>
      </w:r>
      <w:r>
        <w:t xml:space="preserve">on </w:t>
      </w:r>
      <w:r w:rsidR="001D64BC">
        <w:t>seotud osakondadega</w:t>
      </w:r>
      <w:r>
        <w:t xml:space="preserve"> </w:t>
      </w:r>
      <w:r w:rsidR="001D64BC">
        <w:t>(kinnistus-, registri või maksekäsuosakond)</w:t>
      </w:r>
      <w:r>
        <w:t>, mis</w:t>
      </w:r>
      <w:r w:rsidR="001D64BC">
        <w:t>tõttu ei ole arusaadav, kuidas nad saavad teha maakohtu tsiviilosakonnas lahendeid. Kui ettepaneku eesmärk on kohtunikuabi pädevuse laiendamise kaudu laiendada vanemkohtujuristi pädevust, siis tuleks keskenduda üksnes kohtujuristidele. K</w:t>
      </w:r>
      <w:r w:rsidR="001B5FFA">
        <w:t>ui k</w:t>
      </w:r>
      <w:r w:rsidR="001D64BC">
        <w:t>ohtunikueksami sooritanud ja vanemkohtujuristiks nimetatud isikud kandideerivad kohtunikukonkurssidel või lahkuvad kohtusüsteemist</w:t>
      </w:r>
      <w:r>
        <w:t xml:space="preserve">, </w:t>
      </w:r>
      <w:r w:rsidR="001B5FFA">
        <w:t xml:space="preserve">ei pruugi </w:t>
      </w:r>
      <w:r w:rsidR="001D64BC">
        <w:t xml:space="preserve">kohtusüsteemi jääda inimesi, kes seda rolli täidaks. Seega ei </w:t>
      </w:r>
      <w:r>
        <w:t xml:space="preserve">pruugi olla </w:t>
      </w:r>
      <w:r w:rsidR="001D64BC">
        <w:t>õige nõnda vanemkohtujuristi ametit sisustada. Lisaks tuleb arvestada, et kui laiendada kohtunikuabi pädevust, laienevad KS § 125</w:t>
      </w:r>
      <w:r w:rsidR="001D64BC" w:rsidRPr="00BC25CE">
        <w:rPr>
          <w:vertAlign w:val="superscript"/>
        </w:rPr>
        <w:t>1</w:t>
      </w:r>
      <w:r w:rsidR="001D64BC">
        <w:t xml:space="preserve"> lg 2 alusel ka kohtujuristi pädevused. Seetõttu jääb ebaselgeks VTK-s taotletav eesmärk laiendada üksnes vanemkohtujuristi pädevust. Tekib ka põhiseaduslikkuse probleem, arvestades, et Riigikohus on leidnud, et kohtujurist ei tohi menetluskulude suurustki kindlaks määrata.</w:t>
      </w:r>
      <w:r>
        <w:t xml:space="preserve"> </w:t>
      </w:r>
      <w:r w:rsidR="00BB1E36">
        <w:t xml:space="preserve"> </w:t>
      </w:r>
    </w:p>
    <w:p w14:paraId="19448C9F" w14:textId="77777777" w:rsidR="00BC25CE" w:rsidRDefault="00BC25CE" w:rsidP="00BC25CE">
      <w:pPr>
        <w:pStyle w:val="Loendilik"/>
        <w:jc w:val="both"/>
      </w:pPr>
    </w:p>
    <w:p w14:paraId="34F9722B" w14:textId="7FA2A6FC" w:rsidR="00740ECE" w:rsidRDefault="00701C8F" w:rsidP="00E60FF4">
      <w:pPr>
        <w:pStyle w:val="Loendilik"/>
        <w:jc w:val="both"/>
      </w:pPr>
      <w:r>
        <w:t>J</w:t>
      </w:r>
      <w:r w:rsidR="000B2406">
        <w:t xml:space="preserve">ääb ebaselgeks </w:t>
      </w:r>
      <w:r w:rsidR="005F45DB">
        <w:t xml:space="preserve">ka </w:t>
      </w:r>
      <w:r w:rsidR="000B2406">
        <w:t>h</w:t>
      </w:r>
      <w:r w:rsidR="00740ECE">
        <w:t xml:space="preserve">agi tagamise </w:t>
      </w:r>
      <w:r w:rsidR="00BC25CE">
        <w:t xml:space="preserve">lahendamise </w:t>
      </w:r>
      <w:r w:rsidR="00740ECE">
        <w:t>üleandmine vanem</w:t>
      </w:r>
      <w:r w:rsidR="000B2406">
        <w:t>kohtu</w:t>
      </w:r>
      <w:r w:rsidR="00740ECE">
        <w:t>juristile/</w:t>
      </w:r>
      <w:r w:rsidR="000B2406">
        <w:t xml:space="preserve"> </w:t>
      </w:r>
      <w:r w:rsidR="00740ECE">
        <w:t>kohtunikuabile.</w:t>
      </w:r>
      <w:r w:rsidR="000B2406">
        <w:t xml:space="preserve"> Eelnõu järgi </w:t>
      </w:r>
      <w:r w:rsidR="000B2406" w:rsidRPr="000B2406">
        <w:t xml:space="preserve">nähakse </w:t>
      </w:r>
      <w:r w:rsidR="00740ECE">
        <w:t xml:space="preserve">vastav tööjaotus </w:t>
      </w:r>
      <w:r w:rsidR="000B2406" w:rsidRPr="000B2406">
        <w:t>ette tööjaotusplaanis</w:t>
      </w:r>
      <w:r w:rsidR="00740ECE">
        <w:t>. Ebaselgeks jääb</w:t>
      </w:r>
      <w:r>
        <w:t>,</w:t>
      </w:r>
      <w:r w:rsidR="00740ECE">
        <w:t xml:space="preserve"> </w:t>
      </w:r>
      <w:r w:rsidR="000B2406">
        <w:t xml:space="preserve">kuidas </w:t>
      </w:r>
      <w:r w:rsidR="00740ECE">
        <w:t xml:space="preserve">see </w:t>
      </w:r>
      <w:r w:rsidR="000B2406">
        <w:t xml:space="preserve">aga </w:t>
      </w:r>
      <w:r w:rsidR="00740ECE">
        <w:t xml:space="preserve">tagab </w:t>
      </w:r>
      <w:r w:rsidR="000B2406" w:rsidRPr="000B2406">
        <w:t>vanemkohtujuristi</w:t>
      </w:r>
      <w:r w:rsidR="000B2406">
        <w:t>de</w:t>
      </w:r>
      <w:r w:rsidR="000B2406" w:rsidRPr="000B2406">
        <w:t>/ kohtunikuabi</w:t>
      </w:r>
      <w:r w:rsidR="000B2406">
        <w:t>de spetsialiseerumise</w:t>
      </w:r>
      <w:r w:rsidR="00740ECE">
        <w:t xml:space="preserve">. Ehk kui </w:t>
      </w:r>
      <w:r w:rsidR="000B2406">
        <w:t xml:space="preserve">kohtus </w:t>
      </w:r>
      <w:r w:rsidR="00722A2B">
        <w:t xml:space="preserve">on </w:t>
      </w:r>
      <w:r w:rsidR="005F45DB">
        <w:t xml:space="preserve">vaid </w:t>
      </w:r>
      <w:r w:rsidR="00740ECE">
        <w:t>üks vanem</w:t>
      </w:r>
      <w:r w:rsidR="000B2406">
        <w:t>kohtu</w:t>
      </w:r>
      <w:r w:rsidR="00740ECE">
        <w:t xml:space="preserve">jurist, kes </w:t>
      </w:r>
      <w:r w:rsidR="00722A2B">
        <w:t xml:space="preserve">on </w:t>
      </w:r>
      <w:r w:rsidR="000B2406">
        <w:t xml:space="preserve">nt </w:t>
      </w:r>
      <w:r w:rsidR="00740ECE">
        <w:t>spetsialiseeru</w:t>
      </w:r>
      <w:r w:rsidR="00722A2B">
        <w:t>nud</w:t>
      </w:r>
      <w:r w:rsidR="00740ECE">
        <w:t xml:space="preserve"> maksejõuetusasjadele, siis </w:t>
      </w:r>
      <w:r w:rsidR="00722A2B">
        <w:t xml:space="preserve">kas ta saab lahendada ka muude </w:t>
      </w:r>
      <w:r w:rsidR="00740ECE">
        <w:t xml:space="preserve">menetluste </w:t>
      </w:r>
      <w:r w:rsidR="00722A2B">
        <w:t xml:space="preserve">hagi </w:t>
      </w:r>
      <w:r w:rsidR="00740ECE">
        <w:t>tagamisi.</w:t>
      </w:r>
      <w:r w:rsidR="00D56FDE">
        <w:t xml:space="preserve"> Lisaks, kas </w:t>
      </w:r>
      <w:r w:rsidR="00D56FDE" w:rsidRPr="00D56FDE">
        <w:t>vanemkohtujurist</w:t>
      </w:r>
      <w:r w:rsidR="00D56FDE">
        <w:t xml:space="preserve"> peab hakkama lahendama nii hagi tagamisi enne hagi esitamist, koos uue asjaga esitatud hagi tagamisi </w:t>
      </w:r>
      <w:r w:rsidR="00E60FF4">
        <w:t xml:space="preserve">ning </w:t>
      </w:r>
      <w:r>
        <w:t xml:space="preserve">ka </w:t>
      </w:r>
      <w:r w:rsidR="00D56FDE">
        <w:t xml:space="preserve">menetluse kestel </w:t>
      </w:r>
      <w:r>
        <w:t xml:space="preserve">esitatud </w:t>
      </w:r>
      <w:r w:rsidR="00D56FDE">
        <w:t xml:space="preserve">hagi tagamisi. Kui jah, siis kas </w:t>
      </w:r>
      <w:r w:rsidR="00BB1E36" w:rsidRPr="00BB1E36">
        <w:t>vanemkohtujurist</w:t>
      </w:r>
      <w:r w:rsidR="00BB1E36">
        <w:t xml:space="preserve"> </w:t>
      </w:r>
      <w:r w:rsidR="00D56FDE">
        <w:t xml:space="preserve">peab/ peaks konsulteerima </w:t>
      </w:r>
      <w:r>
        <w:t xml:space="preserve">hagi </w:t>
      </w:r>
      <w:r w:rsidR="00D56FDE">
        <w:t>tagamise lahendamise osas põhiasja menetleva kohtunikuga</w:t>
      </w:r>
      <w:r w:rsidR="00E60FF4">
        <w:t xml:space="preserve">. </w:t>
      </w:r>
      <w:r w:rsidR="00D56FDE">
        <w:t>Arusaamatuks jääb ka</w:t>
      </w:r>
      <w:r w:rsidR="00E60FF4">
        <w:t xml:space="preserve"> olukord</w:t>
      </w:r>
      <w:r>
        <w:t xml:space="preserve">, </w:t>
      </w:r>
      <w:r w:rsidR="00BB1E36">
        <w:t>k</w:t>
      </w:r>
      <w:r w:rsidR="00D56FDE">
        <w:t xml:space="preserve">ui </w:t>
      </w:r>
      <w:r w:rsidR="00BB1E36" w:rsidRPr="00BB1E36">
        <w:t>vanemkohtujuristi</w:t>
      </w:r>
      <w:r w:rsidR="00BB1E36">
        <w:t xml:space="preserve"> </w:t>
      </w:r>
      <w:r w:rsidR="00D56FDE">
        <w:t xml:space="preserve">tehtud </w:t>
      </w:r>
      <w:r>
        <w:t xml:space="preserve">hagi </w:t>
      </w:r>
      <w:r w:rsidR="00D56FDE">
        <w:t xml:space="preserve">tagamise </w:t>
      </w:r>
      <w:r>
        <w:t xml:space="preserve">määruse </w:t>
      </w:r>
      <w:r w:rsidR="00D56FDE">
        <w:t xml:space="preserve">peale </w:t>
      </w:r>
      <w:r>
        <w:t xml:space="preserve">esitatakse </w:t>
      </w:r>
      <w:r w:rsidR="00D56FDE">
        <w:t xml:space="preserve"> määruskaebus, </w:t>
      </w:r>
      <w:r w:rsidR="00BB1E36">
        <w:t xml:space="preserve">siis </w:t>
      </w:r>
      <w:r w:rsidR="00D56FDE">
        <w:t xml:space="preserve">kas selle vaatab esmalt läbi </w:t>
      </w:r>
      <w:r w:rsidR="00E60FF4">
        <w:t xml:space="preserve">asja menetlev </w:t>
      </w:r>
      <w:r w:rsidR="00D56FDE">
        <w:t>kohtunik</w:t>
      </w:r>
      <w:r w:rsidR="00E60FF4">
        <w:t xml:space="preserve">. </w:t>
      </w:r>
      <w:r w:rsidR="00BB1E36">
        <w:t>Lisaks</w:t>
      </w:r>
      <w:r>
        <w:t xml:space="preserve">, </w:t>
      </w:r>
      <w:r w:rsidR="00BB1E36">
        <w:t>k</w:t>
      </w:r>
      <w:r w:rsidR="00D56FDE">
        <w:t xml:space="preserve">ui hagi tagamisele eelnevalt on vaja vastaspool ära kuulata, </w:t>
      </w:r>
      <w:r>
        <w:t xml:space="preserve">siis </w:t>
      </w:r>
      <w:r w:rsidR="00D56FDE">
        <w:t xml:space="preserve">kas </w:t>
      </w:r>
      <w:r>
        <w:t xml:space="preserve">ka </w:t>
      </w:r>
      <w:r w:rsidR="00D56FDE">
        <w:t xml:space="preserve">selle toimingu tegemiseks on pädev </w:t>
      </w:r>
      <w:r w:rsidR="00BB1E36" w:rsidRPr="00BB1E36">
        <w:t>vanemkohtujurist</w:t>
      </w:r>
      <w:r w:rsidR="00BB1E36">
        <w:t xml:space="preserve"> või seda </w:t>
      </w:r>
      <w:r>
        <w:t xml:space="preserve">peab </w:t>
      </w:r>
      <w:r w:rsidR="00BB1E36">
        <w:t>siiski tegema kohtuni</w:t>
      </w:r>
      <w:r>
        <w:t>k.</w:t>
      </w:r>
      <w:r w:rsidR="00D56FDE">
        <w:t xml:space="preserve"> </w:t>
      </w:r>
      <w:r w:rsidR="00E60FF4">
        <w:t>T</w:t>
      </w:r>
      <w:r w:rsidR="00722A2B">
        <w:t>eki</w:t>
      </w:r>
      <w:r>
        <w:t>tab</w:t>
      </w:r>
      <w:r w:rsidR="00722A2B">
        <w:t xml:space="preserve"> küsimus</w:t>
      </w:r>
      <w:r>
        <w:t xml:space="preserve">i </w:t>
      </w:r>
      <w:r w:rsidR="00E60FF4">
        <w:t xml:space="preserve">ka </w:t>
      </w:r>
      <w:r>
        <w:t>olukord</w:t>
      </w:r>
      <w:r w:rsidR="00722A2B">
        <w:t>, ku</w:t>
      </w:r>
      <w:r>
        <w:t>s</w:t>
      </w:r>
      <w:r w:rsidR="00722A2B">
        <w:t xml:space="preserve"> </w:t>
      </w:r>
      <w:r>
        <w:t xml:space="preserve">üle kohtu </w:t>
      </w:r>
      <w:r w:rsidR="00722A2B">
        <w:t xml:space="preserve">on vaid üks </w:t>
      </w:r>
      <w:r w:rsidR="00722A2B" w:rsidRPr="00722A2B">
        <w:t>vanemkohtujurist</w:t>
      </w:r>
      <w:r w:rsidR="00722A2B">
        <w:t xml:space="preserve"> ning </w:t>
      </w:r>
      <w:r w:rsidR="00D56FDE">
        <w:t xml:space="preserve">arvestades, et Viru Maakohtu koosseisu ei kuulu ühtegi </w:t>
      </w:r>
      <w:r w:rsidR="00D56FDE" w:rsidRPr="00D56FDE">
        <w:t>kohtunikuabi</w:t>
      </w:r>
      <w:r w:rsidR="00D56FDE">
        <w:t xml:space="preserve">, </w:t>
      </w:r>
      <w:r w:rsidR="00722A2B">
        <w:t xml:space="preserve">siis kellele </w:t>
      </w:r>
      <w:r w:rsidR="00E60FF4">
        <w:t xml:space="preserve">tuleks vanemkohtujuristi </w:t>
      </w:r>
      <w:r w:rsidR="00E60FF4">
        <w:t>töölt eemal olem</w:t>
      </w:r>
      <w:r w:rsidR="00E60FF4">
        <w:t>ise ajal</w:t>
      </w:r>
      <w:r w:rsidR="00E60FF4">
        <w:t xml:space="preserve"> (puhkus, haigus vms</w:t>
      </w:r>
      <w:r w:rsidR="00E60FF4">
        <w:t xml:space="preserve">) </w:t>
      </w:r>
      <w:r w:rsidR="00722A2B">
        <w:t>kohtusse saabuva</w:t>
      </w:r>
      <w:r>
        <w:t>i</w:t>
      </w:r>
      <w:r w:rsidR="00722A2B">
        <w:t>d hagi tagamis</w:t>
      </w:r>
      <w:r>
        <w:t>i</w:t>
      </w:r>
      <w:r w:rsidR="00722A2B">
        <w:t xml:space="preserve"> </w:t>
      </w:r>
      <w:r>
        <w:t xml:space="preserve">ning </w:t>
      </w:r>
      <w:r w:rsidR="00D56FDE">
        <w:t>mu</w:t>
      </w:r>
      <w:r>
        <w:t>i</w:t>
      </w:r>
      <w:r w:rsidR="00D56FDE">
        <w:t xml:space="preserve">d eelnõu järgi </w:t>
      </w:r>
      <w:r w:rsidR="00722A2B" w:rsidRPr="00722A2B">
        <w:t>vanemkohtujurist</w:t>
      </w:r>
      <w:r w:rsidR="00722A2B">
        <w:t>i pädevusse antava</w:t>
      </w:r>
      <w:r>
        <w:t>i</w:t>
      </w:r>
      <w:r w:rsidR="00722A2B">
        <w:t>d asj</w:t>
      </w:r>
      <w:r>
        <w:t>u</w:t>
      </w:r>
      <w:r w:rsidR="00722A2B">
        <w:t xml:space="preserve"> jagada. </w:t>
      </w:r>
    </w:p>
    <w:p w14:paraId="3BD02FD3" w14:textId="77777777" w:rsidR="00722A2B" w:rsidRDefault="00722A2B" w:rsidP="00740ECE">
      <w:pPr>
        <w:jc w:val="both"/>
      </w:pPr>
    </w:p>
    <w:p w14:paraId="4C2B6A5F" w14:textId="77777777" w:rsidR="00722A2B" w:rsidRDefault="00722A2B" w:rsidP="00740ECE">
      <w:pPr>
        <w:jc w:val="both"/>
      </w:pPr>
    </w:p>
    <w:p w14:paraId="0E3708A4" w14:textId="77777777" w:rsidR="00740ECE" w:rsidRDefault="00740ECE" w:rsidP="00740ECE">
      <w:pPr>
        <w:jc w:val="both"/>
      </w:pPr>
    </w:p>
    <w:p w14:paraId="05EA0212" w14:textId="4B87893F" w:rsidR="001D64BC" w:rsidRDefault="00740ECE" w:rsidP="002E2ED5">
      <w:pPr>
        <w:pStyle w:val="Loendilik"/>
        <w:numPr>
          <w:ilvl w:val="0"/>
          <w:numId w:val="1"/>
        </w:numPr>
        <w:jc w:val="both"/>
      </w:pPr>
      <w:r>
        <w:lastRenderedPageBreak/>
        <w:t>k</w:t>
      </w:r>
      <w:r w:rsidR="002E2ED5">
        <w:t>ohtunikel on ka suured kõhklused l</w:t>
      </w:r>
      <w:r w:rsidR="001D64BC">
        <w:t>ihtmenetluse piirmäära tõstmi</w:t>
      </w:r>
      <w:r w:rsidR="002E2ED5">
        <w:t>se osas</w:t>
      </w:r>
      <w:r w:rsidR="001D64BC">
        <w:t>, sest suure osa vaidluste puhul jääb nõue alla 5000 euro. Ei tundu õige jätta menetlusosalised ilma korrakohasest õigusemõistmisest, sh edasikaebeõigusest. Peaks hindama</w:t>
      </w:r>
      <w:r w:rsidR="002E2ED5">
        <w:t xml:space="preserve"> ka</w:t>
      </w:r>
      <w:r w:rsidR="001D64BC">
        <w:t xml:space="preserve">, kas eelmine kord piirmäära tõstmine vähendas kohtute töökoormust. </w:t>
      </w:r>
    </w:p>
    <w:p w14:paraId="4C1D4DE6" w14:textId="77777777" w:rsidR="002E2ED5" w:rsidRDefault="002E2ED5" w:rsidP="001D64BC">
      <w:pPr>
        <w:jc w:val="both"/>
      </w:pPr>
    </w:p>
    <w:p w14:paraId="1C72887C" w14:textId="3B19A150" w:rsidR="001D64BC" w:rsidRDefault="00740ECE" w:rsidP="00740ECE">
      <w:pPr>
        <w:pStyle w:val="Loendilik"/>
        <w:numPr>
          <w:ilvl w:val="0"/>
          <w:numId w:val="1"/>
        </w:numPr>
        <w:jc w:val="both"/>
      </w:pPr>
      <w:r>
        <w:t>m</w:t>
      </w:r>
      <w:r w:rsidR="002E2ED5">
        <w:t>ääruskaebuste otse ringkonnakohtule esitamine - v</w:t>
      </w:r>
      <w:r w:rsidR="001D64BC">
        <w:t xml:space="preserve">ähendaks </w:t>
      </w:r>
      <w:r w:rsidR="002E2ED5">
        <w:t xml:space="preserve">küll </w:t>
      </w:r>
      <w:r w:rsidR="001D64BC">
        <w:t>määruskaebuste lahendamise aega</w:t>
      </w:r>
      <w:r w:rsidR="002E2ED5">
        <w:t xml:space="preserve">, kuid maakohtul </w:t>
      </w:r>
      <w:r w:rsidR="001D64BC">
        <w:t>kaob võimalus enesekontrolliks. Ringkonnakohtute töökoormus eelduslikult suureneb.</w:t>
      </w:r>
    </w:p>
    <w:p w14:paraId="4103E153" w14:textId="77777777" w:rsidR="00740ECE" w:rsidRDefault="00740ECE" w:rsidP="00740ECE">
      <w:pPr>
        <w:pStyle w:val="Loendilik"/>
      </w:pPr>
    </w:p>
    <w:p w14:paraId="12F63FA6" w14:textId="61150D67" w:rsidR="001D64BC" w:rsidRDefault="00740ECE" w:rsidP="0061728B">
      <w:pPr>
        <w:jc w:val="both"/>
      </w:pPr>
      <w:r>
        <w:t xml:space="preserve">Teised </w:t>
      </w:r>
      <w:r w:rsidR="00286DFF">
        <w:t xml:space="preserve">plaanitavad </w:t>
      </w:r>
      <w:r>
        <w:t xml:space="preserve">muudatused on </w:t>
      </w:r>
      <w:r w:rsidR="00BB1E36">
        <w:t xml:space="preserve">Viru Maakohtu kohtunike arvates </w:t>
      </w:r>
      <w:r>
        <w:t xml:space="preserve">mõistlikud ja põhjendatud. </w:t>
      </w:r>
    </w:p>
    <w:p w14:paraId="3CD3E473" w14:textId="77777777" w:rsidR="001D64BC" w:rsidRDefault="001D64BC" w:rsidP="0061728B">
      <w:pPr>
        <w:jc w:val="both"/>
      </w:pPr>
    </w:p>
    <w:p w14:paraId="38893397" w14:textId="77777777" w:rsidR="001D64BC" w:rsidRDefault="001D64BC" w:rsidP="0061728B">
      <w:pPr>
        <w:jc w:val="both"/>
      </w:pPr>
    </w:p>
    <w:p w14:paraId="3933C497" w14:textId="77777777" w:rsidR="001D64BC" w:rsidRPr="0061728B" w:rsidRDefault="001D64BC" w:rsidP="0061728B">
      <w:pPr>
        <w:jc w:val="both"/>
      </w:pPr>
    </w:p>
    <w:p w14:paraId="47EA2661" w14:textId="77777777" w:rsidR="0061728B" w:rsidRPr="0061728B" w:rsidRDefault="0061728B" w:rsidP="0061728B">
      <w:pPr>
        <w:jc w:val="both"/>
      </w:pPr>
    </w:p>
    <w:p w14:paraId="7CCF39D7" w14:textId="1833FC50" w:rsidR="0061728B" w:rsidRPr="0061728B" w:rsidRDefault="0061728B" w:rsidP="0061728B">
      <w:pPr>
        <w:jc w:val="both"/>
      </w:pPr>
      <w:r w:rsidRPr="0061728B">
        <w:t>Lugupidamisega</w:t>
      </w:r>
      <w:r w:rsidR="00701C8F">
        <w:t>,</w:t>
      </w:r>
    </w:p>
    <w:p w14:paraId="34EAEECF" w14:textId="77777777" w:rsidR="0061728B" w:rsidRPr="0061728B" w:rsidRDefault="0061728B" w:rsidP="0061728B">
      <w:pPr>
        <w:jc w:val="both"/>
      </w:pPr>
    </w:p>
    <w:p w14:paraId="33D83EDC" w14:textId="77777777" w:rsidR="0061728B" w:rsidRPr="0061728B" w:rsidRDefault="0061728B" w:rsidP="0061728B">
      <w:pPr>
        <w:jc w:val="both"/>
      </w:pPr>
      <w:r w:rsidRPr="0061728B">
        <w:t>Angelina Abol</w:t>
      </w:r>
    </w:p>
    <w:p w14:paraId="339A4051" w14:textId="09F05897" w:rsidR="00D22400" w:rsidRPr="0061728B" w:rsidRDefault="0061728B" w:rsidP="0061728B">
      <w:pPr>
        <w:jc w:val="both"/>
        <w:rPr>
          <w:rFonts w:cs="Arial"/>
          <w:szCs w:val="20"/>
        </w:rPr>
      </w:pPr>
      <w:r w:rsidRPr="0061728B">
        <w:t>Viru maakohtu tsiviilosakonna juhataja</w:t>
      </w:r>
    </w:p>
    <w:sectPr w:rsidR="00D22400" w:rsidRPr="0061728B" w:rsidSect="00811E61">
      <w:headerReference w:type="first" r:id="rId10"/>
      <w:footerReference w:type="first" r:id="rId11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79156" w14:textId="77777777" w:rsidR="005017F4" w:rsidRDefault="005017F4" w:rsidP="00DA1915">
      <w:r>
        <w:separator/>
      </w:r>
    </w:p>
  </w:endnote>
  <w:endnote w:type="continuationSeparator" w:id="0">
    <w:p w14:paraId="446B9A77" w14:textId="77777777" w:rsidR="005017F4" w:rsidRDefault="005017F4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2FF032E1" w:rsidR="00C94E3C" w:rsidRDefault="00F8430B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FF99E09" w14:textId="77777777" w:rsidR="00457403" w:rsidRPr="00D61ABD" w:rsidRDefault="00457403" w:rsidP="00457403">
                          <w:pPr>
                            <w:jc w:val="center"/>
                            <w:rPr>
                              <w:rStyle w:val="Hperlink"/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</w:pPr>
                          <w:r w:rsidRPr="00D61ABD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1. Mai 2, Narva, </w:t>
                          </w:r>
                          <w:r w:rsidRPr="00D61ABD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20308; registrikood: 74001736; </w:t>
                          </w:r>
                          <w:r w:rsidRPr="00D61ABD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telefon: </w:t>
                          </w:r>
                          <w:r w:rsidRPr="00D61ABD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663 8300; faks:</w:t>
                          </w:r>
                          <w:r w:rsidRPr="00D61ABD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Pr="00D61ABD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359 9801; e-post: </w:t>
                          </w:r>
                          <w:hyperlink r:id="rId1" w:history="1">
                            <w:r w:rsidRPr="00D61ABD">
                              <w:rPr>
                                <w:rStyle w:val="Hperlink"/>
                                <w:rFonts w:eastAsia="Times New Roman" w:cs="Arial"/>
                                <w:color w:val="FFFFFF" w:themeColor="background1"/>
                                <w:sz w:val="19"/>
                                <w:szCs w:val="19"/>
                                <w:lang w:eastAsia="et-EE"/>
                              </w:rPr>
                              <w:t>virumk.info@kohus.ee</w:t>
                            </w:r>
                          </w:hyperlink>
                          <w:r w:rsidRPr="00D61ABD">
                            <w:rPr>
                              <w:rStyle w:val="Hperlink"/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. </w:t>
                          </w:r>
                        </w:p>
                        <w:p w14:paraId="763068A1" w14:textId="77777777" w:rsidR="00457403" w:rsidRPr="00BA7F41" w:rsidRDefault="00457403" w:rsidP="00457403">
                          <w:pPr>
                            <w:jc w:val="center"/>
                            <w:rPr>
                              <w:rFonts w:eastAsia="Times New Roman"/>
                              <w:color w:val="FFFFFF" w:themeColor="background1"/>
                              <w:u w:val="single"/>
                              <w:lang w:eastAsia="et-EE"/>
                            </w:rPr>
                          </w:pPr>
                          <w:r w:rsidRPr="00D61ABD">
                            <w:rPr>
                              <w:rStyle w:val="Hperlink"/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Lisainfo: www.kohus.ee</w:t>
                          </w:r>
                        </w:p>
                        <w:p w14:paraId="52696262" w14:textId="35A68EDC" w:rsidR="00F8430B" w:rsidRPr="00EC53E3" w:rsidRDefault="00F8430B" w:rsidP="001C7565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7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0FF99E09" w14:textId="77777777" w:rsidR="00457403" w:rsidRPr="00D61ABD" w:rsidRDefault="00457403" w:rsidP="00457403">
                    <w:pPr>
                      <w:jc w:val="center"/>
                      <w:rPr>
                        <w:rStyle w:val="Hperlink"/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</w:pPr>
                    <w:r w:rsidRPr="00D61ABD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1. Mai 2, Narva, </w:t>
                    </w:r>
                    <w:r w:rsidRPr="00D61ABD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20308; registrikood: 74001736; </w:t>
                    </w:r>
                    <w:r w:rsidRPr="00D61ABD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telefon: </w:t>
                    </w:r>
                    <w:r w:rsidRPr="00D61ABD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663 8300; faks:</w:t>
                    </w:r>
                    <w:r w:rsidRPr="00D61ABD">
                      <w:rPr>
                        <w:color w:val="FFFFFF" w:themeColor="background1"/>
                      </w:rPr>
                      <w:t xml:space="preserve"> </w:t>
                    </w:r>
                    <w:r w:rsidRPr="00D61ABD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359 9801; e-post: </w:t>
                    </w:r>
                    <w:hyperlink r:id="rId2" w:history="1">
                      <w:r w:rsidRPr="00D61ABD">
                        <w:rPr>
                          <w:rStyle w:val="Hperlink"/>
                          <w:rFonts w:eastAsia="Times New Roman" w:cs="Arial"/>
                          <w:color w:val="FFFFFF" w:themeColor="background1"/>
                          <w:sz w:val="19"/>
                          <w:szCs w:val="19"/>
                          <w:lang w:eastAsia="et-EE"/>
                        </w:rPr>
                        <w:t>virumk.info@kohus.ee</w:t>
                      </w:r>
                    </w:hyperlink>
                    <w:r w:rsidRPr="00D61ABD">
                      <w:rPr>
                        <w:rStyle w:val="Hperlink"/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. </w:t>
                    </w:r>
                  </w:p>
                  <w:p w14:paraId="763068A1" w14:textId="77777777" w:rsidR="00457403" w:rsidRPr="00BA7F41" w:rsidRDefault="00457403" w:rsidP="00457403">
                    <w:pPr>
                      <w:jc w:val="center"/>
                      <w:rPr>
                        <w:rFonts w:eastAsia="Times New Roman"/>
                        <w:color w:val="FFFFFF" w:themeColor="background1"/>
                        <w:u w:val="single"/>
                        <w:lang w:eastAsia="et-EE"/>
                      </w:rPr>
                    </w:pPr>
                    <w:r w:rsidRPr="00D61ABD">
                      <w:rPr>
                        <w:rStyle w:val="Hperlink"/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Lisainfo: www.kohus.ee</w:t>
                    </w:r>
                  </w:p>
                  <w:p w14:paraId="52696262" w14:textId="35A68EDC" w:rsidR="00F8430B" w:rsidRPr="00EC53E3" w:rsidRDefault="00F8430B" w:rsidP="001C7565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7781C" w14:textId="77777777" w:rsidR="005017F4" w:rsidRDefault="005017F4" w:rsidP="00DA1915">
      <w:r>
        <w:separator/>
      </w:r>
    </w:p>
  </w:footnote>
  <w:footnote w:type="continuationSeparator" w:id="0">
    <w:p w14:paraId="180C9135" w14:textId="77777777" w:rsidR="005017F4" w:rsidRDefault="005017F4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5CA01A23" w:rsidR="00C94E3C" w:rsidRDefault="00457403">
    <w:pPr>
      <w:pStyle w:val="Pis"/>
    </w:pPr>
    <w:r w:rsidRPr="00F843AC">
      <w:rPr>
        <w:noProof/>
      </w:rPr>
      <w:drawing>
        <wp:anchor distT="0" distB="0" distL="114300" distR="114300" simplePos="0" relativeHeight="251677696" behindDoc="0" locked="0" layoutInCell="1" allowOverlap="1" wp14:anchorId="05178A8F" wp14:editId="6B78D14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21" name="Graphic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</w:rPr>
      <w:drawing>
        <wp:anchor distT="0" distB="0" distL="114300" distR="114300" simplePos="0" relativeHeight="251675648" behindDoc="0" locked="0" layoutInCell="1" allowOverlap="1" wp14:anchorId="56118C56" wp14:editId="0015BA7E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2A9A65C9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473926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7527"/>
    <w:multiLevelType w:val="hybridMultilevel"/>
    <w:tmpl w:val="BF20A89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165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0649E"/>
    <w:rsid w:val="00046A91"/>
    <w:rsid w:val="00050D1F"/>
    <w:rsid w:val="000B2406"/>
    <w:rsid w:val="000D7F91"/>
    <w:rsid w:val="00130A2F"/>
    <w:rsid w:val="001444F8"/>
    <w:rsid w:val="00147670"/>
    <w:rsid w:val="00155A80"/>
    <w:rsid w:val="001A0D48"/>
    <w:rsid w:val="001B5FFA"/>
    <w:rsid w:val="001C4756"/>
    <w:rsid w:val="001C7565"/>
    <w:rsid w:val="001D64BC"/>
    <w:rsid w:val="00224945"/>
    <w:rsid w:val="00225B96"/>
    <w:rsid w:val="002719AB"/>
    <w:rsid w:val="00286DFF"/>
    <w:rsid w:val="002E2ED5"/>
    <w:rsid w:val="002E397E"/>
    <w:rsid w:val="002F4455"/>
    <w:rsid w:val="0030100D"/>
    <w:rsid w:val="00352056"/>
    <w:rsid w:val="003A6D85"/>
    <w:rsid w:val="003D41E3"/>
    <w:rsid w:val="003F0460"/>
    <w:rsid w:val="003F6F57"/>
    <w:rsid w:val="004365BC"/>
    <w:rsid w:val="0043691B"/>
    <w:rsid w:val="00447CC9"/>
    <w:rsid w:val="00457403"/>
    <w:rsid w:val="00482A7A"/>
    <w:rsid w:val="004900A5"/>
    <w:rsid w:val="004A1192"/>
    <w:rsid w:val="004A5646"/>
    <w:rsid w:val="005017F4"/>
    <w:rsid w:val="0051481A"/>
    <w:rsid w:val="00543457"/>
    <w:rsid w:val="0055716E"/>
    <w:rsid w:val="005708AC"/>
    <w:rsid w:val="00572025"/>
    <w:rsid w:val="005F0FF9"/>
    <w:rsid w:val="005F45DB"/>
    <w:rsid w:val="00614AF1"/>
    <w:rsid w:val="0061728B"/>
    <w:rsid w:val="006444D2"/>
    <w:rsid w:val="006A69E8"/>
    <w:rsid w:val="006B1210"/>
    <w:rsid w:val="006D5809"/>
    <w:rsid w:val="006F02D2"/>
    <w:rsid w:val="00701C8F"/>
    <w:rsid w:val="00722A2B"/>
    <w:rsid w:val="00740ECE"/>
    <w:rsid w:val="00791DB2"/>
    <w:rsid w:val="007B7B17"/>
    <w:rsid w:val="00811E61"/>
    <w:rsid w:val="0082107E"/>
    <w:rsid w:val="00873A81"/>
    <w:rsid w:val="008F0FC9"/>
    <w:rsid w:val="008F167E"/>
    <w:rsid w:val="0094633F"/>
    <w:rsid w:val="00990296"/>
    <w:rsid w:val="009B02B4"/>
    <w:rsid w:val="009B5A17"/>
    <w:rsid w:val="009B6480"/>
    <w:rsid w:val="009F5C2E"/>
    <w:rsid w:val="00A252B8"/>
    <w:rsid w:val="00A279CA"/>
    <w:rsid w:val="00A3029D"/>
    <w:rsid w:val="00A52543"/>
    <w:rsid w:val="00AA2AFB"/>
    <w:rsid w:val="00AA7A1D"/>
    <w:rsid w:val="00AB2218"/>
    <w:rsid w:val="00AE57B5"/>
    <w:rsid w:val="00B260A5"/>
    <w:rsid w:val="00B310B5"/>
    <w:rsid w:val="00B57933"/>
    <w:rsid w:val="00B61543"/>
    <w:rsid w:val="00B85165"/>
    <w:rsid w:val="00BB1E36"/>
    <w:rsid w:val="00BC25CE"/>
    <w:rsid w:val="00BF1D1A"/>
    <w:rsid w:val="00C17A46"/>
    <w:rsid w:val="00C32C97"/>
    <w:rsid w:val="00C63460"/>
    <w:rsid w:val="00C8651B"/>
    <w:rsid w:val="00C94E3C"/>
    <w:rsid w:val="00C96864"/>
    <w:rsid w:val="00CB7D32"/>
    <w:rsid w:val="00CC2FB6"/>
    <w:rsid w:val="00CC5B66"/>
    <w:rsid w:val="00D22400"/>
    <w:rsid w:val="00D56FDE"/>
    <w:rsid w:val="00D7743B"/>
    <w:rsid w:val="00DA1915"/>
    <w:rsid w:val="00DB12C2"/>
    <w:rsid w:val="00DD415C"/>
    <w:rsid w:val="00DE4BBF"/>
    <w:rsid w:val="00DF17D0"/>
    <w:rsid w:val="00E349D5"/>
    <w:rsid w:val="00E40D30"/>
    <w:rsid w:val="00E60FF4"/>
    <w:rsid w:val="00E7252F"/>
    <w:rsid w:val="00E736B1"/>
    <w:rsid w:val="00EB0DA6"/>
    <w:rsid w:val="00ED24E6"/>
    <w:rsid w:val="00EE667C"/>
    <w:rsid w:val="00F55873"/>
    <w:rsid w:val="00F8430B"/>
    <w:rsid w:val="00F93607"/>
    <w:rsid w:val="00FC186C"/>
    <w:rsid w:val="00FC2DAD"/>
    <w:rsid w:val="00FD2773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Normaallaadveeb">
    <w:name w:val="Normal (Web)"/>
    <w:basedOn w:val="Normaallaad"/>
    <w:uiPriority w:val="99"/>
    <w:unhideWhenUsed/>
    <w:rsid w:val="00D224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543457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2E2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rumk.info@kohus.ee" TargetMode="External"/><Relationship Id="rId1" Type="http://schemas.openxmlformats.org/officeDocument/2006/relationships/hyperlink" Target="mailto:virumk.info@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863638-8876-4031-9A33-EE7DE22E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528</Words>
  <Characters>3066</Characters>
  <Application>Microsoft Office Word</Application>
  <DocSecurity>0</DocSecurity>
  <Lines>25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Angelina Abol</cp:lastModifiedBy>
  <cp:revision>9</cp:revision>
  <dcterms:created xsi:type="dcterms:W3CDTF">2024-08-26T08:38:00Z</dcterms:created>
  <dcterms:modified xsi:type="dcterms:W3CDTF">2024-08-26T14:06:00Z</dcterms:modified>
</cp:coreProperties>
</file>